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2E278">
      <w:pPr>
        <w:snapToGrid w:val="0"/>
        <w:spacing w:line="360" w:lineRule="auto"/>
        <w:contextualSpacing/>
        <w:rPr>
          <w:rFonts w:hint="eastAsia" w:ascii="宋体" w:hAnsi="宋体"/>
          <w:b/>
          <w:bCs/>
          <w:sz w:val="36"/>
          <w:szCs w:val="36"/>
        </w:rPr>
      </w:pPr>
      <w:bookmarkStart w:id="0" w:name="_GoBack"/>
      <w:bookmarkEnd w:id="0"/>
      <w:r>
        <w:drawing>
          <wp:inline distT="0" distB="0" distL="0" distR="0">
            <wp:extent cx="1009015" cy="334010"/>
            <wp:effectExtent l="0" t="0" r="635" b="889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0"/>
                    <a:stretch>
                      <a:fillRect/>
                    </a:stretch>
                  </pic:blipFill>
                  <pic:spPr>
                    <a:xfrm>
                      <a:off x="0" y="0"/>
                      <a:ext cx="1031004" cy="341271"/>
                    </a:xfrm>
                    <a:prstGeom prst="rect">
                      <a:avLst/>
                    </a:prstGeom>
                  </pic:spPr>
                </pic:pic>
              </a:graphicData>
            </a:graphic>
          </wp:inline>
        </w:drawing>
      </w:r>
      <w:r>
        <w:rPr>
          <w:rFonts w:ascii="宋体" w:hAnsi="宋体"/>
          <w:b/>
          <w:bCs/>
          <w:sz w:val="36"/>
          <w:szCs w:val="36"/>
        </w:rPr>
        <w:t xml:space="preserve">            </w:t>
      </w:r>
      <w:r>
        <w:rPr>
          <w:rFonts w:hint="eastAsia" w:ascii="宋体" w:hAnsi="宋体"/>
          <w:b/>
          <w:bCs/>
          <w:sz w:val="36"/>
          <w:szCs w:val="36"/>
        </w:rPr>
        <w:t>18</w:t>
      </w:r>
      <w:r>
        <w:rPr>
          <w:rFonts w:ascii="宋体" w:hAnsi="宋体"/>
          <w:b/>
          <w:bCs/>
          <w:sz w:val="36"/>
          <w:szCs w:val="36"/>
        </w:rPr>
        <w:t xml:space="preserve"> </w:t>
      </w:r>
      <w:r>
        <w:rPr>
          <w:rFonts w:hint="eastAsia" w:ascii="宋体" w:hAnsi="宋体"/>
          <w:b/>
          <w:bCs/>
          <w:sz w:val="36"/>
          <w:szCs w:val="36"/>
        </w:rPr>
        <w:t>井冈翠竹</w:t>
      </w:r>
    </w:p>
    <w:p w14:paraId="10E6F80D">
      <w:pPr>
        <w:snapToGrid w:val="0"/>
        <w:spacing w:line="360" w:lineRule="auto"/>
        <w:contextualSpacing/>
        <w:jc w:val="left"/>
        <w:rPr>
          <w:rFonts w:hint="eastAsia" w:ascii="宋体" w:hAnsi="宋体"/>
          <w:sz w:val="24"/>
        </w:rPr>
      </w:pPr>
      <w:r>
        <w:drawing>
          <wp:inline distT="0" distB="0" distL="0" distR="0">
            <wp:extent cx="845185" cy="224155"/>
            <wp:effectExtent l="0" t="0" r="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a:stretch>
                      <a:fillRect/>
                    </a:stretch>
                  </pic:blipFill>
                  <pic:spPr>
                    <a:xfrm>
                      <a:off x="0" y="0"/>
                      <a:ext cx="886746" cy="235379"/>
                    </a:xfrm>
                    <a:prstGeom prst="rect">
                      <a:avLst/>
                    </a:prstGeom>
                  </pic:spPr>
                </pic:pic>
              </a:graphicData>
            </a:graphic>
          </wp:inline>
        </w:drawing>
      </w:r>
    </w:p>
    <w:p w14:paraId="07C6D821">
      <w:pPr>
        <w:snapToGrid w:val="0"/>
        <w:spacing w:line="360" w:lineRule="auto"/>
        <w:contextualSpacing/>
        <w:jc w:val="left"/>
        <w:rPr>
          <w:rFonts w:hint="eastAsia" w:ascii="宋体" w:hAnsi="宋体"/>
          <w:sz w:val="24"/>
        </w:rPr>
      </w:pPr>
      <w:r>
        <w:rPr>
          <w:rFonts w:hint="eastAsia" w:ascii="宋体" w:hAnsi="宋体"/>
          <w:sz w:val="24"/>
        </w:rPr>
        <w:t>◎文化自信：学习井冈山革命根据地人民的崇高品质，继承并发扬井冈山精神。（重点）</w:t>
      </w:r>
    </w:p>
    <w:p w14:paraId="725E0F73">
      <w:pPr>
        <w:snapToGrid w:val="0"/>
        <w:spacing w:line="360" w:lineRule="auto"/>
        <w:contextualSpacing/>
        <w:jc w:val="left"/>
        <w:rPr>
          <w:rFonts w:hint="eastAsia" w:ascii="宋体" w:hAnsi="宋体"/>
          <w:sz w:val="24"/>
        </w:rPr>
      </w:pPr>
      <w:r>
        <w:rPr>
          <w:rFonts w:hint="eastAsia" w:ascii="宋体" w:hAnsi="宋体"/>
          <w:sz w:val="24"/>
        </w:rPr>
        <w:t>◎语言运用：积累课后“读读写写”词语，能根据特定场景正确运用。</w:t>
      </w:r>
    </w:p>
    <w:p w14:paraId="1D83A817">
      <w:pPr>
        <w:snapToGrid w:val="0"/>
        <w:spacing w:line="360" w:lineRule="auto"/>
        <w:ind w:left="240" w:hanging="240" w:hangingChars="100"/>
        <w:contextualSpacing/>
        <w:jc w:val="left"/>
        <w:rPr>
          <w:rFonts w:hint="eastAsia" w:ascii="宋体" w:hAnsi="宋体"/>
          <w:sz w:val="24"/>
        </w:rPr>
      </w:pPr>
      <w:r>
        <w:rPr>
          <w:rFonts w:hint="eastAsia" w:ascii="宋体" w:hAnsi="宋体"/>
          <w:sz w:val="24"/>
        </w:rPr>
        <w:t>◎思维能力：理解井冈翠竹的象征意义，学习托物言志的写法。赏析本文精练准确、生动形象的语言，体会作者的思想感情。（难点）</w:t>
      </w:r>
    </w:p>
    <w:p w14:paraId="5ED430D4">
      <w:pPr>
        <w:snapToGrid w:val="0"/>
        <w:spacing w:line="360" w:lineRule="auto"/>
        <w:contextualSpacing/>
        <w:jc w:val="left"/>
        <w:rPr>
          <w:rFonts w:hint="eastAsia" w:ascii="宋体" w:hAnsi="宋体"/>
          <w:sz w:val="24"/>
        </w:rPr>
      </w:pPr>
      <w:r>
        <w:rPr>
          <w:rFonts w:hint="eastAsia" w:ascii="宋体" w:hAnsi="宋体"/>
          <w:sz w:val="24"/>
        </w:rPr>
        <w:t>◎审美创造：品味文章生动形象、富于艺术感染力的语言。</w:t>
      </w:r>
    </w:p>
    <w:p w14:paraId="0D6210E2">
      <w:pPr>
        <w:snapToGrid w:val="0"/>
        <w:spacing w:line="360" w:lineRule="auto"/>
        <w:contextualSpacing/>
        <w:jc w:val="left"/>
        <w:rPr>
          <w:rFonts w:hint="eastAsia" w:ascii="宋体" w:hAnsi="宋体"/>
          <w:b/>
          <w:bCs/>
          <w:sz w:val="24"/>
        </w:rPr>
      </w:pPr>
      <w:r>
        <w:drawing>
          <wp:inline distT="0" distB="0" distL="0" distR="0">
            <wp:extent cx="1324610" cy="29464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2"/>
                    <a:stretch>
                      <a:fillRect/>
                    </a:stretch>
                  </pic:blipFill>
                  <pic:spPr>
                    <a:xfrm>
                      <a:off x="0" y="0"/>
                      <a:ext cx="1324800" cy="295200"/>
                    </a:xfrm>
                    <a:prstGeom prst="rect">
                      <a:avLst/>
                    </a:prstGeom>
                  </pic:spPr>
                </pic:pic>
              </a:graphicData>
            </a:graphic>
          </wp:inline>
        </w:drawing>
      </w:r>
    </w:p>
    <w:p w14:paraId="062E55BE">
      <w:pPr>
        <w:snapToGrid w:val="0"/>
        <w:spacing w:line="360" w:lineRule="auto"/>
        <w:contextualSpacing/>
        <w:jc w:val="center"/>
        <w:rPr>
          <w:rFonts w:hint="eastAsia" w:ascii="宋体" w:hAnsi="宋体"/>
          <w:b/>
          <w:bCs/>
          <w:sz w:val="24"/>
        </w:rPr>
      </w:pPr>
      <w:r>
        <w:rPr>
          <w:rFonts w:hint="eastAsia" w:ascii="宋体" w:hAnsi="宋体"/>
          <w:b/>
          <w:bCs/>
          <w:sz w:val="24"/>
        </w:rPr>
        <w:t>第1课时</w:t>
      </w:r>
    </w:p>
    <w:p w14:paraId="3A9C10DF">
      <w:pPr>
        <w:snapToGrid w:val="0"/>
        <w:spacing w:line="360" w:lineRule="auto"/>
        <w:contextualSpacing/>
        <w:jc w:val="left"/>
        <w:rPr>
          <w:rFonts w:hint="eastAsia" w:ascii="宋体" w:hAnsi="宋体"/>
          <w:sz w:val="24"/>
        </w:rPr>
      </w:pPr>
      <w:r>
        <w:rPr>
          <w:rFonts w:hint="eastAsia" w:ascii="宋体" w:hAnsi="宋体"/>
          <w:sz w:val="24"/>
        </w:rPr>
        <w:t>一、导入新课</w:t>
      </w:r>
    </w:p>
    <w:p w14:paraId="1040135B">
      <w:pPr>
        <w:snapToGrid w:val="0"/>
        <w:spacing w:line="360" w:lineRule="auto"/>
        <w:ind w:firstLine="480" w:firstLineChars="200"/>
        <w:contextualSpacing/>
        <w:jc w:val="left"/>
        <w:rPr>
          <w:rFonts w:hint="eastAsia" w:ascii="宋体" w:hAnsi="宋体"/>
          <w:sz w:val="24"/>
        </w:rPr>
      </w:pPr>
      <w:r>
        <w:rPr>
          <w:rFonts w:hint="eastAsia" w:ascii="宋体" w:hAnsi="宋体"/>
          <w:sz w:val="24"/>
        </w:rPr>
        <w:t>我们在生活中能见到很多用竹子做成的物品，比如，竹筷、竹篮、竹席等，由此可见，竹子与我们的生活息息相关。“未出土时先有节，到凌云处总虚心。”竹子，修长挺拔，是高雅、谦虚、有气节、刚直不阿等美德的生动象征。今天我们来学习一篇与竹子有关的课文</w:t>
      </w:r>
    </w:p>
    <w:p w14:paraId="05334375">
      <w:pPr>
        <w:snapToGrid w:val="0"/>
        <w:spacing w:line="360" w:lineRule="auto"/>
        <w:contextualSpacing/>
        <w:jc w:val="left"/>
        <w:rPr>
          <w:rFonts w:hint="eastAsia" w:ascii="宋体" w:hAnsi="宋体"/>
          <w:sz w:val="24"/>
        </w:rPr>
      </w:pPr>
      <w:r>
        <w:rPr>
          <w:rFonts w:hint="eastAsia" w:ascii="宋体" w:hAnsi="宋体"/>
          <w:sz w:val="24"/>
        </w:rPr>
        <w:t>——《井冈翠竹》，看看在作者的笔下，竹子又是什么样的。</w:t>
      </w:r>
    </w:p>
    <w:p w14:paraId="1AAF983A">
      <w:pPr>
        <w:snapToGrid w:val="0"/>
        <w:spacing w:line="360" w:lineRule="auto"/>
        <w:ind w:firstLine="480" w:firstLineChars="200"/>
        <w:contextualSpacing/>
        <w:jc w:val="left"/>
        <w:rPr>
          <w:rFonts w:hint="eastAsia" w:ascii="宋体" w:hAnsi="宋体"/>
          <w:sz w:val="24"/>
        </w:rPr>
      </w:pPr>
      <w:r>
        <w:rPr>
          <w:rFonts w:hint="eastAsia" w:ascii="宋体" w:hAnsi="宋体"/>
          <w:sz w:val="24"/>
        </w:rPr>
        <w:t>二、教学开展</w:t>
      </w:r>
    </w:p>
    <w:p w14:paraId="5D6FAFCD">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1.目标任务一：搜集资料，扫清障碍。</w:t>
      </w:r>
    </w:p>
    <w:p w14:paraId="20B8374C">
      <w:pPr>
        <w:snapToGrid w:val="0"/>
        <w:spacing w:line="360" w:lineRule="auto"/>
        <w:ind w:firstLine="480" w:firstLineChars="200"/>
        <w:contextualSpacing/>
        <w:jc w:val="left"/>
        <w:rPr>
          <w:rFonts w:hint="eastAsia" w:ascii="宋体" w:hAnsi="宋体"/>
          <w:sz w:val="24"/>
        </w:rPr>
      </w:pPr>
      <w:r>
        <w:rPr>
          <w:rFonts w:hint="eastAsia" w:ascii="宋体" w:hAnsi="宋体"/>
          <w:sz w:val="24"/>
        </w:rPr>
        <w:t>◎字词积累。自由朗读，结合课后的“读读写写”掌握“殷切”“郁郁苍苍”“绞尽脑汁”等重点字词。</w:t>
      </w:r>
    </w:p>
    <w:p w14:paraId="562E20B2">
      <w:pPr>
        <w:snapToGrid w:val="0"/>
        <w:spacing w:line="360" w:lineRule="auto"/>
        <w:ind w:firstLine="480" w:firstLineChars="200"/>
        <w:contextualSpacing/>
        <w:jc w:val="left"/>
        <w:rPr>
          <w:rFonts w:hint="eastAsia" w:ascii="宋体" w:hAnsi="宋体"/>
          <w:sz w:val="24"/>
        </w:rPr>
      </w:pPr>
      <w:r>
        <w:rPr>
          <w:rFonts w:hint="eastAsia" w:ascii="宋体" w:hAnsi="宋体"/>
          <w:sz w:val="24"/>
        </w:rPr>
        <w:t>可参见《创优作业·背记手册》本课字词部分。</w:t>
      </w:r>
    </w:p>
    <w:p w14:paraId="42A92E72">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◎作者简介</w:t>
      </w:r>
    </w:p>
    <w:p w14:paraId="6F67A6D3">
      <w:pPr>
        <w:snapToGrid w:val="0"/>
        <w:spacing w:line="360" w:lineRule="auto"/>
        <w:ind w:firstLine="480" w:firstLineChars="200"/>
        <w:contextualSpacing/>
        <w:jc w:val="left"/>
        <w:rPr>
          <w:rFonts w:hint="eastAsia" w:ascii="宋体" w:hAnsi="宋体"/>
          <w:sz w:val="24"/>
        </w:rPr>
      </w:pPr>
      <w:r>
        <w:rPr>
          <w:rFonts w:hint="eastAsia" w:ascii="宋体" w:hAnsi="宋体"/>
          <w:sz w:val="24"/>
        </w:rPr>
        <w:t>袁鹰（1924—2023），原名田锺洛，江苏淮安人，作家。20世纪40年代中期开始文学创作，以散文影响最大。其散文题材广泛，感情激越，思想深邃，作品中描述的人事景物，都反映了社会的人情风貌，跳动着时代脉搏。主要作品有散文集《第一个火花》《红河南北》《第十个春天》等。</w:t>
      </w:r>
    </w:p>
    <w:p w14:paraId="7677DD91">
      <w:pPr>
        <w:snapToGrid w:val="0"/>
        <w:spacing w:line="360" w:lineRule="auto"/>
        <w:ind w:firstLine="480" w:firstLineChars="200"/>
        <w:contextualSpacing/>
        <w:jc w:val="left"/>
        <w:rPr>
          <w:rFonts w:hint="eastAsia" w:ascii="宋体" w:hAnsi="宋体"/>
          <w:sz w:val="24"/>
        </w:rPr>
      </w:pPr>
      <w:r>
        <w:rPr>
          <w:rFonts w:hint="eastAsia" w:ascii="宋体" w:hAnsi="宋体"/>
          <w:sz w:val="24"/>
        </w:rPr>
        <w:t>◎背景链接</w:t>
      </w:r>
    </w:p>
    <w:p w14:paraId="6F7BF9AF">
      <w:pPr>
        <w:snapToGrid w:val="0"/>
        <w:spacing w:line="360" w:lineRule="auto"/>
        <w:ind w:firstLine="480" w:firstLineChars="200"/>
        <w:contextualSpacing/>
        <w:jc w:val="left"/>
        <w:rPr>
          <w:rFonts w:hint="eastAsia" w:ascii="宋体" w:hAnsi="宋体"/>
          <w:sz w:val="24"/>
        </w:rPr>
      </w:pPr>
      <w:r>
        <w:rPr>
          <w:rFonts w:hint="eastAsia" w:ascii="宋体" w:hAnsi="宋体"/>
          <w:sz w:val="24"/>
        </w:rPr>
        <w:t>本文选自《中国新文学大系1949—1976·散文卷一》（上海文艺出版社1997年版），是作者于1960年10月第一次瞻仰革命圣地井冈山后写的一组散文中的一篇。当时，我国正处于严重困难时期。作者访问井冈山，看到当地人民改造山河的艰苦创业情景，想到老一辈革命家披荆斩棘、筚路蓝缕的英雄伟绩，感受到了井冈山的精神和井冈山人的性格——在任何逆境中含辛茹苦、奋斗不息的战斗精神和不畏风雨、不避强暴、巍然挺立的坚强性格。受到深刻教育和强烈感染的作者，在返回北京后陆续撰写了一组散文《井冈山记》，旨在向广大青年传达其所见、所闻、所感。他从众多给自己留下难忘印象的井冈山景物中，选中毛竹作为写作对象，创作了《青山翠竹》。原文在选入中学语文课本时，更名为《井冈翠竹》。</w:t>
      </w:r>
    </w:p>
    <w:p w14:paraId="0226B214">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2.目标任务二：初读课文，整体感知。</w:t>
      </w:r>
    </w:p>
    <w:p w14:paraId="218A545A">
      <w:pPr>
        <w:snapToGrid w:val="0"/>
        <w:spacing w:line="360" w:lineRule="auto"/>
        <w:ind w:firstLine="480" w:firstLineChars="200"/>
        <w:contextualSpacing/>
        <w:jc w:val="left"/>
        <w:rPr>
          <w:rFonts w:hint="eastAsia" w:ascii="宋体" w:hAnsi="宋体"/>
          <w:sz w:val="24"/>
        </w:rPr>
      </w:pPr>
      <w:r>
        <w:rPr>
          <w:rFonts w:hint="eastAsia" w:ascii="宋体" w:hAnsi="宋体"/>
          <w:sz w:val="24"/>
        </w:rPr>
        <w:t>◎快速阅读课文，看看课文围绕井冈翠竹写了些什么。</w:t>
      </w:r>
    </w:p>
    <w:p w14:paraId="52D2C52E">
      <w:pPr>
        <w:snapToGrid w:val="0"/>
        <w:spacing w:line="360" w:lineRule="auto"/>
        <w:ind w:firstLine="480" w:firstLineChars="200"/>
        <w:contextualSpacing/>
        <w:jc w:val="left"/>
        <w:rPr>
          <w:rFonts w:hint="eastAsia" w:ascii="宋体" w:hAnsi="宋体"/>
          <w:sz w:val="24"/>
        </w:rPr>
      </w:pPr>
      <w:r>
        <w:rPr>
          <w:rFonts w:hint="eastAsia" w:ascii="宋体" w:hAnsi="宋体"/>
          <w:sz w:val="24"/>
        </w:rPr>
        <w:t>课文围绕井冈翠竹写了翠竹的外形和象征意义，井冈山人在革命战争年代里的坚贞精神，翠竹在社会主义建设时期的作用。</w:t>
      </w:r>
    </w:p>
    <w:p w14:paraId="7AE3674D">
      <w:pPr>
        <w:snapToGrid w:val="0"/>
        <w:spacing w:line="360" w:lineRule="auto"/>
        <w:ind w:firstLine="480" w:firstLineChars="200"/>
        <w:contextualSpacing/>
        <w:jc w:val="left"/>
        <w:rPr>
          <w:rFonts w:hint="eastAsia" w:ascii="宋体" w:hAnsi="宋体"/>
          <w:sz w:val="24"/>
        </w:rPr>
      </w:pPr>
      <w:r>
        <w:rPr>
          <w:rFonts w:hint="eastAsia" w:ascii="宋体" w:hAnsi="宋体"/>
          <w:sz w:val="24"/>
        </w:rPr>
        <w:t>◎分析概括文章的结构层次。</w:t>
      </w:r>
    </w:p>
    <w:p w14:paraId="00FEDCE7">
      <w:pPr>
        <w:snapToGrid w:val="0"/>
        <w:spacing w:line="360" w:lineRule="auto"/>
        <w:ind w:firstLine="480" w:firstLineChars="200"/>
        <w:contextualSpacing/>
        <w:jc w:val="left"/>
        <w:rPr>
          <w:rFonts w:hint="eastAsia" w:ascii="宋体" w:hAnsi="宋体"/>
          <w:sz w:val="24"/>
        </w:rPr>
      </w:pPr>
      <w:r>
        <w:rPr>
          <w:rFonts w:hint="eastAsia" w:ascii="宋体" w:hAnsi="宋体"/>
          <w:sz w:val="24"/>
        </w:rPr>
        <w:t>第一部分（1—4）：总写井冈山毛竹茂密繁盛和修直挺拔的姿态，赞颂它是革命的竹子。</w:t>
      </w:r>
    </w:p>
    <w:p w14:paraId="4C6D3AFF">
      <w:pPr>
        <w:snapToGrid w:val="0"/>
        <w:spacing w:line="360" w:lineRule="auto"/>
        <w:ind w:firstLine="480" w:firstLineChars="200"/>
        <w:contextualSpacing/>
        <w:jc w:val="left"/>
        <w:rPr>
          <w:rFonts w:hint="eastAsia" w:ascii="宋体" w:hAnsi="宋体"/>
          <w:sz w:val="24"/>
        </w:rPr>
      </w:pPr>
      <w:r>
        <w:rPr>
          <w:rFonts w:hint="eastAsia" w:ascii="宋体" w:hAnsi="宋体"/>
          <w:sz w:val="24"/>
        </w:rPr>
        <w:t>第二部分（5—12）：展开丰富的联想，具体写出井冈山毛竹在革命战争年代和社会主义建设时期的巨大贡献及其顽强的生命力，歌颂井冈山人坚贞不屈的革命气节和艰苦奋斗的革命精神。</w:t>
      </w:r>
    </w:p>
    <w:p w14:paraId="157D2181">
      <w:pPr>
        <w:snapToGrid w:val="0"/>
        <w:spacing w:line="360" w:lineRule="auto"/>
        <w:ind w:firstLine="480" w:firstLineChars="200"/>
        <w:contextualSpacing/>
        <w:jc w:val="left"/>
        <w:rPr>
          <w:rFonts w:hint="eastAsia" w:ascii="宋体" w:hAnsi="宋体"/>
          <w:sz w:val="24"/>
        </w:rPr>
      </w:pPr>
      <w:r>
        <w:rPr>
          <w:rFonts w:hint="eastAsia" w:ascii="宋体" w:hAnsi="宋体"/>
          <w:sz w:val="24"/>
        </w:rPr>
        <w:t>第一层（5—7）：写保卫红色政权时期,井冈山毛竹所作出的贡献。</w:t>
      </w:r>
    </w:p>
    <w:p w14:paraId="7C7B2122">
      <w:pPr>
        <w:snapToGrid w:val="0"/>
        <w:spacing w:line="360" w:lineRule="auto"/>
        <w:ind w:firstLine="480" w:firstLineChars="200"/>
        <w:contextualSpacing/>
        <w:jc w:val="left"/>
        <w:rPr>
          <w:rFonts w:hint="eastAsia" w:ascii="宋体" w:hAnsi="宋体"/>
          <w:sz w:val="24"/>
        </w:rPr>
      </w:pPr>
      <w:r>
        <w:rPr>
          <w:rFonts w:hint="eastAsia" w:ascii="宋体" w:hAnsi="宋体"/>
          <w:sz w:val="24"/>
        </w:rPr>
        <w:t>第二层（8、9）：借井冈山毛竹的顽强生命力讴歌留守井冈山继续革命的人们坚强不屈的精神。</w:t>
      </w:r>
    </w:p>
    <w:p w14:paraId="1AB31C4D">
      <w:pPr>
        <w:snapToGrid w:val="0"/>
        <w:spacing w:line="360" w:lineRule="auto"/>
        <w:ind w:firstLine="480" w:firstLineChars="200"/>
        <w:contextualSpacing/>
        <w:jc w:val="left"/>
        <w:rPr>
          <w:rFonts w:hint="eastAsia" w:ascii="宋体" w:hAnsi="宋体"/>
          <w:sz w:val="24"/>
        </w:rPr>
      </w:pPr>
      <w:r>
        <w:rPr>
          <w:rFonts w:hint="eastAsia" w:ascii="宋体" w:hAnsi="宋体"/>
          <w:sz w:val="24"/>
        </w:rPr>
        <w:t>第三层（10—12）：写井冈山毛竹在社会主义建设时期作出的巨大贡献。</w:t>
      </w:r>
    </w:p>
    <w:p w14:paraId="64516EB1">
      <w:pPr>
        <w:snapToGrid w:val="0"/>
        <w:spacing w:line="360" w:lineRule="auto"/>
        <w:ind w:firstLine="480" w:firstLineChars="200"/>
        <w:contextualSpacing/>
        <w:jc w:val="left"/>
        <w:rPr>
          <w:rFonts w:hint="eastAsia" w:ascii="宋体" w:hAnsi="宋体"/>
          <w:sz w:val="24"/>
        </w:rPr>
      </w:pPr>
      <w:r>
        <w:rPr>
          <w:rFonts w:hint="eastAsia" w:ascii="宋体" w:hAnsi="宋体"/>
          <w:sz w:val="24"/>
        </w:rPr>
        <w:t>第三部分（13）：篇末点题，赞美井冈山毛竹的精神，赞扬井冈山人和中国人民的革命气节、革命精神。</w:t>
      </w:r>
    </w:p>
    <w:p w14:paraId="23106966">
      <w:pPr>
        <w:snapToGrid w:val="0"/>
        <w:spacing w:line="360" w:lineRule="auto"/>
        <w:ind w:firstLine="480" w:firstLineChars="200"/>
        <w:contextualSpacing/>
        <w:jc w:val="left"/>
        <w:rPr>
          <w:rFonts w:hint="eastAsia" w:ascii="宋体" w:hAnsi="宋体"/>
          <w:sz w:val="24"/>
        </w:rPr>
      </w:pPr>
      <w:r>
        <w:rPr>
          <w:rFonts w:hint="eastAsia" w:ascii="宋体" w:hAnsi="宋体"/>
          <w:sz w:val="24"/>
        </w:rPr>
        <w:t>◎阅读文章第二部分，看看作者围绕井冈翠竹展开了哪些联想，完成下面填空。</w:t>
      </w:r>
    </w:p>
    <w:p w14:paraId="47A83383">
      <w:pPr>
        <w:snapToGrid w:val="0"/>
        <w:spacing w:line="360" w:lineRule="auto"/>
        <w:contextualSpacing/>
        <w:jc w:val="center"/>
        <w:rPr>
          <w:rFonts w:hint="eastAsia" w:ascii="宋体" w:hAnsi="宋体"/>
          <w:sz w:val="24"/>
        </w:rPr>
      </w:pPr>
      <w:r>
        <w:drawing>
          <wp:inline distT="0" distB="0" distL="0" distR="0">
            <wp:extent cx="3968115" cy="2640965"/>
            <wp:effectExtent l="0" t="0" r="0" b="698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stretch>
                      <a:fillRect/>
                    </a:stretch>
                  </pic:blipFill>
                  <pic:spPr>
                    <a:xfrm>
                      <a:off x="0" y="0"/>
                      <a:ext cx="3981835" cy="2650335"/>
                    </a:xfrm>
                    <a:prstGeom prst="rect">
                      <a:avLst/>
                    </a:prstGeom>
                  </pic:spPr>
                </pic:pic>
              </a:graphicData>
            </a:graphic>
          </wp:inline>
        </w:drawing>
      </w:r>
    </w:p>
    <w:p w14:paraId="1ACD110B">
      <w:pPr>
        <w:snapToGrid w:val="0"/>
        <w:spacing w:line="360" w:lineRule="auto"/>
        <w:ind w:firstLine="480" w:firstLineChars="200"/>
        <w:contextualSpacing/>
        <w:jc w:val="left"/>
        <w:rPr>
          <w:rFonts w:hint="eastAsia" w:ascii="宋体" w:hAnsi="宋体"/>
          <w:sz w:val="24"/>
        </w:rPr>
      </w:pPr>
      <w:r>
        <w:rPr>
          <w:rFonts w:hint="eastAsia" w:ascii="宋体" w:hAnsi="宋体"/>
          <w:sz w:val="24"/>
        </w:rPr>
        <w:t xml:space="preserve">［参考答案］①革命前辈挑革命重担到北京 </w:t>
      </w:r>
      <w:r>
        <w:rPr>
          <w:rFonts w:ascii="宋体" w:hAnsi="宋体"/>
          <w:sz w:val="24"/>
        </w:rPr>
        <w:t xml:space="preserve"> </w:t>
      </w:r>
      <w:r>
        <w:rPr>
          <w:rFonts w:hint="eastAsia" w:ascii="宋体" w:hAnsi="宋体"/>
          <w:sz w:val="24"/>
        </w:rPr>
        <w:t xml:space="preserve">②井冈山人民坚贞不屈的品格 </w:t>
      </w:r>
      <w:r>
        <w:rPr>
          <w:rFonts w:ascii="宋体" w:hAnsi="宋体"/>
          <w:sz w:val="24"/>
        </w:rPr>
        <w:t xml:space="preserve"> </w:t>
      </w:r>
      <w:r>
        <w:rPr>
          <w:rFonts w:hint="eastAsia" w:ascii="宋体" w:hAnsi="宋体"/>
          <w:sz w:val="24"/>
        </w:rPr>
        <w:t>③社会主义建设时期</w:t>
      </w:r>
    </w:p>
    <w:p w14:paraId="48138E6A">
      <w:pPr>
        <w:snapToGrid w:val="0"/>
        <w:spacing w:line="360" w:lineRule="auto"/>
        <w:ind w:firstLine="480" w:firstLineChars="200"/>
        <w:contextualSpacing/>
        <w:jc w:val="left"/>
        <w:rPr>
          <w:rFonts w:hint="eastAsia" w:ascii="宋体" w:hAnsi="宋体"/>
          <w:sz w:val="24"/>
        </w:rPr>
      </w:pPr>
      <w:r>
        <w:rPr>
          <w:rFonts w:hint="eastAsia" w:ascii="宋体" w:hAnsi="宋体"/>
          <w:sz w:val="24"/>
        </w:rPr>
        <w:t>3.目标任务三：再读课文，了解托物言志。</w:t>
      </w:r>
    </w:p>
    <w:p w14:paraId="314B53EC">
      <w:pPr>
        <w:snapToGrid w:val="0"/>
        <w:spacing w:line="360" w:lineRule="auto"/>
        <w:ind w:firstLine="480" w:firstLineChars="200"/>
        <w:contextualSpacing/>
        <w:jc w:val="left"/>
        <w:rPr>
          <w:rFonts w:hint="eastAsia" w:ascii="宋体" w:hAnsi="宋体"/>
          <w:sz w:val="24"/>
        </w:rPr>
      </w:pPr>
      <w:r>
        <w:rPr>
          <w:rFonts w:hint="eastAsia" w:ascii="宋体" w:hAnsi="宋体"/>
          <w:sz w:val="24"/>
        </w:rPr>
        <w:t>◎找出文章中描写井冈翠竹的句子，说说这些句子写出了井冈翠竹的什么特征。作者描写这些特征又是为了表达什么样的情感？</w:t>
      </w:r>
    </w:p>
    <w:p w14:paraId="31DF4F4A">
      <w:pPr>
        <w:snapToGrid w:val="0"/>
        <w:spacing w:line="360" w:lineRule="auto"/>
        <w:ind w:firstLine="480" w:firstLineChars="200"/>
        <w:contextualSpacing/>
        <w:jc w:val="left"/>
        <w:rPr>
          <w:rFonts w:hint="eastAsia" w:ascii="宋体" w:hAnsi="宋体"/>
          <w:sz w:val="24"/>
        </w:rPr>
      </w:pPr>
      <w:r>
        <w:rPr>
          <w:rFonts w:hint="eastAsia" w:ascii="宋体" w:hAnsi="宋体"/>
          <w:sz w:val="24"/>
        </w:rPr>
        <w:t>（1）从远处看，郁郁苍苍，重重叠叠，望不到头。到近处看，有的修直挺拔，好似当年山头的岗哨；有的密密麻麻，好似埋伏在深坳里的奇兵；有的看来出世还不久，却也亭亭玉立，别有一番神采。</w:t>
      </w:r>
    </w:p>
    <w:p w14:paraId="5EF19975">
      <w:pPr>
        <w:snapToGrid w:val="0"/>
        <w:spacing w:line="360" w:lineRule="auto"/>
        <w:ind w:firstLine="480" w:firstLineChars="200"/>
        <w:contextualSpacing/>
        <w:jc w:val="left"/>
        <w:rPr>
          <w:rFonts w:hint="eastAsia" w:ascii="宋体" w:hAnsi="宋体"/>
          <w:sz w:val="24"/>
        </w:rPr>
      </w:pPr>
      <w:r>
        <w:rPr>
          <w:rFonts w:hint="eastAsia" w:ascii="宋体" w:hAnsi="宋体"/>
          <w:sz w:val="24"/>
        </w:rPr>
        <w:t>（2）用它搭过帐篷，用它做过梭镖，用它当罐盛过水、当碗蒸过饭，用它做过扁担和吹火筒，在黄洋界和八面山上，还用它摆过三十里竹钉阵，使多少白匪魂飞魄散，鬼哭狼嗥。</w:t>
      </w:r>
    </w:p>
    <w:p w14:paraId="7598F398">
      <w:pPr>
        <w:snapToGrid w:val="0"/>
        <w:spacing w:line="360" w:lineRule="auto"/>
        <w:ind w:firstLine="480" w:firstLineChars="200"/>
        <w:contextualSpacing/>
        <w:jc w:val="left"/>
        <w:rPr>
          <w:rFonts w:hint="eastAsia" w:ascii="宋体" w:hAnsi="宋体"/>
          <w:sz w:val="24"/>
        </w:rPr>
      </w:pPr>
      <w:r>
        <w:rPr>
          <w:rFonts w:hint="eastAsia" w:ascii="宋体" w:hAnsi="宋体"/>
          <w:sz w:val="24"/>
        </w:rPr>
        <w:t>（3）井冈山的毛竹，同井冈山人民一样，坚贞不屈。血雨腥风里，毛竹青了又黄，黄了又青，不向残暴低头，不向敌人弯腰。</w:t>
      </w:r>
    </w:p>
    <w:p w14:paraId="07C6031C">
      <w:pPr>
        <w:snapToGrid w:val="0"/>
        <w:spacing w:line="360" w:lineRule="auto"/>
        <w:ind w:firstLine="480" w:firstLineChars="200"/>
        <w:contextualSpacing/>
        <w:jc w:val="left"/>
        <w:rPr>
          <w:rFonts w:hint="eastAsia" w:ascii="宋体" w:hAnsi="宋体"/>
          <w:sz w:val="24"/>
        </w:rPr>
      </w:pPr>
      <w:r>
        <w:rPr>
          <w:rFonts w:hint="eastAsia" w:ascii="宋体" w:hAnsi="宋体"/>
          <w:sz w:val="24"/>
        </w:rPr>
        <w:t>（4）竹叶烧了，还有竹枝；竹枝断了，还有竹鞭；竹鞭砍了，还有深埋在地下的竹根。</w:t>
      </w:r>
    </w:p>
    <w:p w14:paraId="52720A6F">
      <w:pPr>
        <w:snapToGrid w:val="0"/>
        <w:spacing w:line="360" w:lineRule="auto"/>
        <w:ind w:firstLine="480" w:firstLineChars="200"/>
        <w:contextualSpacing/>
        <w:jc w:val="left"/>
        <w:rPr>
          <w:rFonts w:hint="eastAsia" w:ascii="宋体" w:hAnsi="宋体"/>
          <w:sz w:val="24"/>
        </w:rPr>
      </w:pPr>
      <w:r>
        <w:rPr>
          <w:rFonts w:hint="eastAsia" w:ascii="宋体" w:hAnsi="宋体"/>
          <w:sz w:val="24"/>
        </w:rPr>
        <w:t>（5）“野火烧不尽，春风吹又生。”一到春天，漫山遍野，向大地显露着无限生机的，依然是那一望无际的翠竹！</w:t>
      </w:r>
    </w:p>
    <w:p w14:paraId="7C07262D">
      <w:pPr>
        <w:snapToGrid w:val="0"/>
        <w:spacing w:line="360" w:lineRule="auto"/>
        <w:ind w:firstLine="480" w:firstLineChars="200"/>
        <w:contextualSpacing/>
        <w:jc w:val="left"/>
        <w:rPr>
          <w:rFonts w:hint="eastAsia" w:ascii="宋体" w:hAnsi="宋体"/>
          <w:sz w:val="24"/>
        </w:rPr>
      </w:pPr>
      <w:r>
        <w:rPr>
          <w:rFonts w:hint="eastAsia" w:ascii="宋体" w:hAnsi="宋体"/>
          <w:sz w:val="24"/>
        </w:rPr>
        <w:t>（6）你永远那么青翠，永远那么挺拔，风吹雨打，从不改色；刀砍火烧，永不低头……</w:t>
      </w:r>
    </w:p>
    <w:p w14:paraId="39509518">
      <w:pPr>
        <w:snapToGrid w:val="0"/>
        <w:spacing w:line="360" w:lineRule="auto"/>
        <w:ind w:firstLine="480" w:firstLineChars="200"/>
        <w:contextualSpacing/>
        <w:jc w:val="left"/>
        <w:rPr>
          <w:rFonts w:hint="eastAsia" w:ascii="宋体" w:hAnsi="宋体"/>
          <w:sz w:val="24"/>
        </w:rPr>
      </w:pPr>
      <w:r>
        <w:rPr>
          <w:rFonts w:hint="eastAsia" w:ascii="宋体" w:hAnsi="宋体"/>
          <w:sz w:val="24"/>
        </w:rPr>
        <w:t>通过这些句子，我们可以看出井冈翠竹具有茂密繁盛、修直挺拔、用途广泛、坚贞不屈、意志顽强等特征。</w:t>
      </w:r>
    </w:p>
    <w:p w14:paraId="63748039">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作者描写井冈翠竹的这些特征是为了歌颂以井冈山人民为代表的中国人民艰苦奋斗的革命精神和坚定不移的革命气节。</w:t>
      </w:r>
    </w:p>
    <w:p w14:paraId="076807FE">
      <w:pPr>
        <w:snapToGrid w:val="0"/>
        <w:spacing w:line="360" w:lineRule="auto"/>
        <w:contextualSpacing/>
        <w:jc w:val="center"/>
        <w:rPr>
          <w:rFonts w:hint="eastAsia" w:ascii="宋体" w:hAnsi="宋体"/>
          <w:b/>
          <w:bCs/>
          <w:sz w:val="24"/>
        </w:rPr>
      </w:pPr>
      <w:r>
        <w:rPr>
          <w:rFonts w:hint="eastAsia" w:ascii="宋体" w:hAnsi="宋体"/>
          <w:b/>
          <w:bCs/>
          <w:sz w:val="24"/>
        </w:rPr>
        <w:t>第2课时</w:t>
      </w:r>
    </w:p>
    <w:p w14:paraId="3D07435C">
      <w:pPr>
        <w:snapToGrid w:val="0"/>
        <w:spacing w:line="360" w:lineRule="auto"/>
        <w:ind w:firstLine="480" w:firstLineChars="200"/>
        <w:contextualSpacing/>
        <w:jc w:val="left"/>
        <w:rPr>
          <w:rFonts w:hint="eastAsia" w:ascii="宋体" w:hAnsi="宋体"/>
          <w:sz w:val="24"/>
        </w:rPr>
      </w:pPr>
      <w:r>
        <w:rPr>
          <w:rFonts w:hint="eastAsia" w:ascii="宋体" w:hAnsi="宋体"/>
          <w:sz w:val="24"/>
        </w:rPr>
        <w:t>1.目标任务一：精读课文，赏析句子。</w:t>
      </w:r>
    </w:p>
    <w:p w14:paraId="5AB00114">
      <w:pPr>
        <w:snapToGrid w:val="0"/>
        <w:spacing w:line="360" w:lineRule="auto"/>
        <w:ind w:firstLine="480" w:firstLineChars="200"/>
        <w:contextualSpacing/>
        <w:jc w:val="left"/>
        <w:rPr>
          <w:rFonts w:hint="eastAsia" w:ascii="宋体" w:hAnsi="宋体"/>
          <w:sz w:val="24"/>
        </w:rPr>
      </w:pPr>
      <w:r>
        <w:rPr>
          <w:rFonts w:hint="eastAsia" w:ascii="宋体" w:hAnsi="宋体"/>
          <w:sz w:val="24"/>
        </w:rPr>
        <w:t>◎从修辞手法的角度赏析句子。文中运用了大量的修辞手法，请找出几处并赏析。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1276"/>
        <w:gridCol w:w="4212"/>
      </w:tblGrid>
      <w:tr w14:paraId="04BD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Align w:val="center"/>
          </w:tcPr>
          <w:p w14:paraId="2D26423F">
            <w:pPr>
              <w:spacing w:line="360" w:lineRule="auto"/>
              <w:contextualSpacing/>
              <w:jc w:val="center"/>
              <w:rPr>
                <w:rFonts w:hint="eastAsia" w:ascii="宋体" w:hAnsi="宋体"/>
                <w:sz w:val="24"/>
              </w:rPr>
            </w:pPr>
            <w:r>
              <w:rPr>
                <w:rFonts w:hint="eastAsia" w:ascii="宋体" w:hAnsi="宋体"/>
                <w:sz w:val="24"/>
              </w:rPr>
              <w:t>句子</w:t>
            </w:r>
          </w:p>
        </w:tc>
        <w:tc>
          <w:tcPr>
            <w:tcW w:w="1276" w:type="dxa"/>
            <w:vAlign w:val="center"/>
          </w:tcPr>
          <w:p w14:paraId="2FC82688">
            <w:pPr>
              <w:spacing w:line="360" w:lineRule="auto"/>
              <w:contextualSpacing/>
              <w:jc w:val="center"/>
              <w:rPr>
                <w:rFonts w:hint="eastAsia" w:ascii="宋体" w:hAnsi="宋体"/>
                <w:sz w:val="24"/>
              </w:rPr>
            </w:pPr>
            <w:r>
              <w:rPr>
                <w:rFonts w:hint="eastAsia" w:ascii="宋体" w:hAnsi="宋体"/>
                <w:sz w:val="24"/>
              </w:rPr>
              <w:t>修辞手法</w:t>
            </w:r>
          </w:p>
        </w:tc>
        <w:tc>
          <w:tcPr>
            <w:tcW w:w="4212" w:type="dxa"/>
            <w:vAlign w:val="center"/>
          </w:tcPr>
          <w:p w14:paraId="2C7AF95D">
            <w:pPr>
              <w:spacing w:line="360" w:lineRule="auto"/>
              <w:contextualSpacing/>
              <w:jc w:val="center"/>
              <w:rPr>
                <w:rFonts w:hint="eastAsia" w:ascii="宋体" w:hAnsi="宋体"/>
                <w:sz w:val="24"/>
              </w:rPr>
            </w:pPr>
            <w:r>
              <w:rPr>
                <w:rFonts w:hint="eastAsia" w:ascii="宋体" w:hAnsi="宋体"/>
                <w:sz w:val="24"/>
              </w:rPr>
              <w:t>赏析</w:t>
            </w:r>
          </w:p>
        </w:tc>
      </w:tr>
      <w:tr w14:paraId="39306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Align w:val="center"/>
          </w:tcPr>
          <w:p w14:paraId="66F3A184">
            <w:pPr>
              <w:spacing w:line="360" w:lineRule="auto"/>
              <w:contextualSpacing/>
              <w:jc w:val="left"/>
              <w:rPr>
                <w:rFonts w:hint="eastAsia" w:ascii="宋体" w:hAnsi="宋体"/>
                <w:sz w:val="24"/>
              </w:rPr>
            </w:pPr>
            <w:r>
              <w:rPr>
                <w:rFonts w:hint="eastAsia" w:ascii="宋体" w:hAnsi="宋体"/>
                <w:sz w:val="24"/>
              </w:rPr>
              <w:t>用它搭过帐篷，用它做过梭镖，用它当罐盛过水、当碗蒸过饭，用它做过扁担和吹火筒，在黄洋界和八面山上，还用它摆过三十里竹钉阵，使多少白匪魂飞魄散，鬼哭狼嗥。</w:t>
            </w:r>
          </w:p>
        </w:tc>
        <w:tc>
          <w:tcPr>
            <w:tcW w:w="1276" w:type="dxa"/>
            <w:vAlign w:val="center"/>
          </w:tcPr>
          <w:p w14:paraId="2B8836D8">
            <w:pPr>
              <w:spacing w:line="360" w:lineRule="auto"/>
              <w:contextualSpacing/>
              <w:jc w:val="center"/>
              <w:rPr>
                <w:rFonts w:hint="eastAsia" w:ascii="宋体" w:hAnsi="宋体"/>
                <w:sz w:val="24"/>
              </w:rPr>
            </w:pPr>
            <w:r>
              <w:rPr>
                <w:rFonts w:hint="eastAsia" w:ascii="宋体" w:hAnsi="宋体"/>
                <w:sz w:val="24"/>
              </w:rPr>
              <w:t>排比</w:t>
            </w:r>
          </w:p>
        </w:tc>
        <w:tc>
          <w:tcPr>
            <w:tcW w:w="4212" w:type="dxa"/>
            <w:vAlign w:val="center"/>
          </w:tcPr>
          <w:p w14:paraId="23ACD9E8">
            <w:pPr>
              <w:spacing w:line="360" w:lineRule="auto"/>
              <w:contextualSpacing/>
              <w:jc w:val="left"/>
              <w:rPr>
                <w:rFonts w:hint="eastAsia" w:ascii="宋体" w:hAnsi="宋体"/>
                <w:sz w:val="24"/>
              </w:rPr>
            </w:pPr>
            <w:r>
              <w:rPr>
                <w:rFonts w:hint="eastAsia" w:ascii="宋体" w:hAnsi="宋体"/>
                <w:sz w:val="24"/>
              </w:rPr>
              <w:t>历数井冈翠竹在革命战争年代的具体用处，表明井冈翠竹与革命紧密相关，它的确是革命的竹子。</w:t>
            </w:r>
          </w:p>
        </w:tc>
      </w:tr>
      <w:tr w14:paraId="1D9E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Align w:val="center"/>
          </w:tcPr>
          <w:p w14:paraId="0FE5FEA8">
            <w:pPr>
              <w:spacing w:line="360" w:lineRule="auto"/>
              <w:contextualSpacing/>
              <w:jc w:val="left"/>
              <w:rPr>
                <w:rFonts w:hint="eastAsia" w:ascii="宋体" w:hAnsi="宋体"/>
                <w:sz w:val="24"/>
              </w:rPr>
            </w:pPr>
            <w:r>
              <w:rPr>
                <w:rFonts w:hint="eastAsia" w:ascii="宋体" w:hAnsi="宋体"/>
                <w:sz w:val="24"/>
              </w:rPr>
              <w:t>血雨腥风里，毛竹青了又黄，黄了又青，不向残暴低头，不向敌人弯腰。</w:t>
            </w:r>
          </w:p>
        </w:tc>
        <w:tc>
          <w:tcPr>
            <w:tcW w:w="1276" w:type="dxa"/>
            <w:vAlign w:val="center"/>
          </w:tcPr>
          <w:p w14:paraId="05672CE1">
            <w:pPr>
              <w:spacing w:line="360" w:lineRule="auto"/>
              <w:contextualSpacing/>
              <w:jc w:val="center"/>
              <w:rPr>
                <w:rFonts w:hint="eastAsia" w:ascii="宋体" w:hAnsi="宋体"/>
                <w:sz w:val="24"/>
              </w:rPr>
            </w:pPr>
            <w:r>
              <w:rPr>
                <w:rFonts w:hint="eastAsia" w:ascii="宋体" w:hAnsi="宋体"/>
                <w:sz w:val="24"/>
              </w:rPr>
              <w:t>拟人</w:t>
            </w:r>
          </w:p>
        </w:tc>
        <w:tc>
          <w:tcPr>
            <w:tcW w:w="4212" w:type="dxa"/>
            <w:vAlign w:val="center"/>
          </w:tcPr>
          <w:p w14:paraId="62316FE7">
            <w:pPr>
              <w:spacing w:line="360" w:lineRule="auto"/>
              <w:contextualSpacing/>
              <w:jc w:val="left"/>
              <w:rPr>
                <w:rFonts w:hint="eastAsia" w:ascii="宋体" w:hAnsi="宋体"/>
                <w:sz w:val="24"/>
              </w:rPr>
            </w:pPr>
            <w:r>
              <w:rPr>
                <w:rFonts w:hint="eastAsia" w:ascii="宋体" w:hAnsi="宋体"/>
                <w:sz w:val="24"/>
              </w:rPr>
              <w:t>赋予毛竹以人的情态，生动形象地写出了毛竹在恶劣环境中依然顽强不屈的斗争精神，也表现了井冈山人民同毛竹一样，具有不畏残暴的铮铮铁骨。</w:t>
            </w:r>
          </w:p>
        </w:tc>
      </w:tr>
      <w:tr w14:paraId="799D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Align w:val="center"/>
          </w:tcPr>
          <w:p w14:paraId="74C32D5F">
            <w:pPr>
              <w:spacing w:line="360" w:lineRule="auto"/>
              <w:contextualSpacing/>
              <w:jc w:val="left"/>
              <w:rPr>
                <w:rFonts w:hint="eastAsia" w:ascii="宋体" w:hAnsi="宋体"/>
                <w:sz w:val="24"/>
              </w:rPr>
            </w:pPr>
            <w:r>
              <w:rPr>
                <w:rFonts w:hint="eastAsia" w:ascii="宋体" w:hAnsi="宋体"/>
                <w:sz w:val="24"/>
              </w:rPr>
              <w:t>为了搭起滑道，他们翻越了多少陡峭的悬岩绝壁；为了找寻水路，他们踏遍了多少曲折的幽谷荒滩。</w:t>
            </w:r>
          </w:p>
        </w:tc>
        <w:tc>
          <w:tcPr>
            <w:tcW w:w="1276" w:type="dxa"/>
            <w:vAlign w:val="center"/>
          </w:tcPr>
          <w:p w14:paraId="7EB08F31">
            <w:pPr>
              <w:spacing w:line="360" w:lineRule="auto"/>
              <w:contextualSpacing/>
              <w:jc w:val="center"/>
              <w:rPr>
                <w:rFonts w:hint="eastAsia" w:ascii="宋体" w:hAnsi="宋体"/>
                <w:sz w:val="24"/>
              </w:rPr>
            </w:pPr>
            <w:r>
              <w:rPr>
                <w:rFonts w:hint="eastAsia" w:ascii="宋体" w:hAnsi="宋体"/>
                <w:sz w:val="24"/>
              </w:rPr>
              <w:t>对偶</w:t>
            </w:r>
          </w:p>
        </w:tc>
        <w:tc>
          <w:tcPr>
            <w:tcW w:w="4212" w:type="dxa"/>
            <w:vAlign w:val="center"/>
          </w:tcPr>
          <w:p w14:paraId="56724A67">
            <w:pPr>
              <w:spacing w:line="360" w:lineRule="auto"/>
              <w:contextualSpacing/>
              <w:jc w:val="left"/>
              <w:rPr>
                <w:rFonts w:hint="eastAsia" w:ascii="宋体" w:hAnsi="宋体"/>
                <w:sz w:val="24"/>
              </w:rPr>
            </w:pPr>
            <w:r>
              <w:rPr>
                <w:rFonts w:hint="eastAsia" w:ascii="宋体" w:hAnsi="宋体"/>
                <w:sz w:val="24"/>
              </w:rPr>
              <w:t>言简义丰，以诗一样的语言表现了建设者们创业之艰难。</w:t>
            </w:r>
          </w:p>
        </w:tc>
      </w:tr>
      <w:tr w14:paraId="2FE9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Align w:val="center"/>
          </w:tcPr>
          <w:p w14:paraId="1F7FBE68">
            <w:pPr>
              <w:spacing w:line="360" w:lineRule="auto"/>
              <w:contextualSpacing/>
              <w:jc w:val="left"/>
              <w:rPr>
                <w:rFonts w:hint="eastAsia" w:ascii="宋体" w:hAnsi="宋体"/>
                <w:sz w:val="24"/>
              </w:rPr>
            </w:pPr>
            <w:r>
              <w:rPr>
                <w:rFonts w:hint="eastAsia" w:ascii="宋体" w:hAnsi="宋体"/>
                <w:sz w:val="24"/>
              </w:rPr>
              <w:t>风雪一天比一天大,人们的干劲一天比一天猛，砍下的毛竹一天比一天堆得高，为竹滑道修的架在两座高山之间的竹桥，也在一天比一天往上长。</w:t>
            </w:r>
          </w:p>
        </w:tc>
        <w:tc>
          <w:tcPr>
            <w:tcW w:w="1276" w:type="dxa"/>
            <w:vAlign w:val="center"/>
          </w:tcPr>
          <w:p w14:paraId="02B8630B">
            <w:pPr>
              <w:spacing w:line="360" w:lineRule="auto"/>
              <w:contextualSpacing/>
              <w:jc w:val="center"/>
              <w:rPr>
                <w:rFonts w:hint="eastAsia" w:ascii="宋体" w:hAnsi="宋体"/>
                <w:sz w:val="24"/>
              </w:rPr>
            </w:pPr>
            <w:r>
              <w:rPr>
                <w:rFonts w:hint="eastAsia" w:ascii="宋体" w:hAnsi="宋体"/>
                <w:sz w:val="24"/>
              </w:rPr>
              <w:t>反复</w:t>
            </w:r>
          </w:p>
        </w:tc>
        <w:tc>
          <w:tcPr>
            <w:tcW w:w="4212" w:type="dxa"/>
            <w:vAlign w:val="center"/>
          </w:tcPr>
          <w:p w14:paraId="76BC4681">
            <w:pPr>
              <w:spacing w:line="360" w:lineRule="auto"/>
              <w:contextualSpacing/>
              <w:jc w:val="left"/>
              <w:rPr>
                <w:rFonts w:hint="eastAsia" w:ascii="宋体" w:hAnsi="宋体"/>
                <w:sz w:val="24"/>
              </w:rPr>
            </w:pPr>
            <w:r>
              <w:rPr>
                <w:rFonts w:hint="eastAsia" w:ascii="宋体" w:hAnsi="宋体"/>
                <w:sz w:val="24"/>
              </w:rPr>
              <w:t>描摹出在日益艰苦的环境中，人们的干劲日益增强，劳动成果不断积累的场景，表现了人们为社会主义建设建立的卓越功勋和他们面对困难时不屈不挠的坚强意志。</w:t>
            </w:r>
          </w:p>
        </w:tc>
      </w:tr>
      <w:tr w14:paraId="576C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vAlign w:val="center"/>
          </w:tcPr>
          <w:p w14:paraId="33CB246C">
            <w:pPr>
              <w:spacing w:line="360" w:lineRule="auto"/>
              <w:contextualSpacing/>
              <w:jc w:val="left"/>
              <w:rPr>
                <w:rFonts w:hint="eastAsia" w:ascii="宋体" w:hAnsi="宋体"/>
                <w:sz w:val="24"/>
              </w:rPr>
            </w:pPr>
            <w:r>
              <w:rPr>
                <w:rFonts w:hint="eastAsia" w:ascii="宋体" w:hAnsi="宋体"/>
                <w:sz w:val="24"/>
              </w:rPr>
              <w:t>竹叶烧了，还有竹枝；竹枝断了，还有竹鞭；竹鞭砍了，还有深埋在地下的竹根。</w:t>
            </w:r>
          </w:p>
        </w:tc>
        <w:tc>
          <w:tcPr>
            <w:tcW w:w="1276" w:type="dxa"/>
            <w:vAlign w:val="center"/>
          </w:tcPr>
          <w:p w14:paraId="1341234C">
            <w:pPr>
              <w:spacing w:line="360" w:lineRule="auto"/>
              <w:contextualSpacing/>
              <w:jc w:val="center"/>
              <w:rPr>
                <w:rFonts w:hint="eastAsia" w:ascii="宋体" w:hAnsi="宋体"/>
                <w:sz w:val="24"/>
              </w:rPr>
            </w:pPr>
            <w:r>
              <w:rPr>
                <w:rFonts w:hint="eastAsia" w:ascii="宋体" w:hAnsi="宋体"/>
                <w:sz w:val="24"/>
              </w:rPr>
              <w:t>顶真</w:t>
            </w:r>
          </w:p>
        </w:tc>
        <w:tc>
          <w:tcPr>
            <w:tcW w:w="4212" w:type="dxa"/>
            <w:vAlign w:val="center"/>
          </w:tcPr>
          <w:p w14:paraId="44F3C8D7">
            <w:pPr>
              <w:spacing w:line="360" w:lineRule="auto"/>
              <w:contextualSpacing/>
              <w:jc w:val="left"/>
              <w:rPr>
                <w:rFonts w:hint="eastAsia" w:ascii="宋体" w:hAnsi="宋体"/>
                <w:sz w:val="24"/>
              </w:rPr>
            </w:pPr>
            <w:r>
              <w:rPr>
                <w:rFonts w:hint="eastAsia" w:ascii="宋体" w:hAnsi="宋体"/>
                <w:sz w:val="24"/>
              </w:rPr>
              <w:t>给人以“无穷无尽”之感，突出井冈翠竹的坚贞不屈和生命力的顽强。</w:t>
            </w:r>
          </w:p>
        </w:tc>
      </w:tr>
    </w:tbl>
    <w:p w14:paraId="0190A5CE">
      <w:pPr>
        <w:snapToGrid w:val="0"/>
        <w:spacing w:line="360" w:lineRule="auto"/>
        <w:ind w:firstLine="480" w:firstLineChars="200"/>
        <w:contextualSpacing/>
        <w:jc w:val="left"/>
        <w:rPr>
          <w:rFonts w:hint="eastAsia" w:ascii="宋体" w:hAnsi="宋体"/>
          <w:sz w:val="24"/>
        </w:rPr>
      </w:pPr>
      <w:r>
        <w:rPr>
          <w:rFonts w:hint="eastAsia" w:ascii="宋体" w:hAnsi="宋体"/>
          <w:sz w:val="24"/>
        </w:rPr>
        <w:t>顶真，亦称顶针、联珠、蝉联，是指用前文的结尾（词语或句子）作下文的开头，用以修饰两句之间的声韵的方法。这种方法不仅能使句子结构整齐，语气贯通，还能突出事物之间的环环相扣。</w:t>
      </w:r>
    </w:p>
    <w:p w14:paraId="253583D7">
      <w:pPr>
        <w:snapToGrid w:val="0"/>
        <w:spacing w:line="360" w:lineRule="auto"/>
        <w:ind w:firstLine="480" w:firstLineChars="200"/>
        <w:contextualSpacing/>
        <w:jc w:val="left"/>
        <w:rPr>
          <w:rFonts w:hint="eastAsia" w:ascii="宋体" w:hAnsi="宋体"/>
          <w:sz w:val="24"/>
        </w:rPr>
      </w:pPr>
      <w:r>
        <w:rPr>
          <w:rFonts w:hint="eastAsia" w:ascii="宋体" w:hAnsi="宋体"/>
          <w:sz w:val="24"/>
        </w:rPr>
        <w:t>◎从句式运用的角度赏析句子。本文句式富有变化，运用了大量的反问句、设问句，请找出几处简要赏析。</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8"/>
        <w:gridCol w:w="4638"/>
      </w:tblGrid>
      <w:tr w14:paraId="728EB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vAlign w:val="center"/>
          </w:tcPr>
          <w:p w14:paraId="110F84D5">
            <w:pPr>
              <w:spacing w:line="360" w:lineRule="auto"/>
              <w:contextualSpacing/>
              <w:jc w:val="center"/>
              <w:rPr>
                <w:rFonts w:hint="eastAsia" w:ascii="宋体" w:hAnsi="宋体"/>
                <w:sz w:val="24"/>
              </w:rPr>
            </w:pPr>
            <w:r>
              <w:rPr>
                <w:rFonts w:hint="eastAsia" w:ascii="宋体" w:hAnsi="宋体"/>
                <w:sz w:val="24"/>
              </w:rPr>
              <w:t>句子</w:t>
            </w:r>
          </w:p>
        </w:tc>
        <w:tc>
          <w:tcPr>
            <w:tcW w:w="4638" w:type="dxa"/>
            <w:vAlign w:val="center"/>
          </w:tcPr>
          <w:p w14:paraId="1B67A76D">
            <w:pPr>
              <w:spacing w:line="360" w:lineRule="auto"/>
              <w:contextualSpacing/>
              <w:jc w:val="center"/>
              <w:rPr>
                <w:rFonts w:hint="eastAsia" w:ascii="宋体" w:hAnsi="宋体"/>
                <w:sz w:val="24"/>
              </w:rPr>
            </w:pPr>
            <w:r>
              <w:rPr>
                <w:rFonts w:hint="eastAsia" w:ascii="宋体" w:hAnsi="宋体"/>
                <w:sz w:val="24"/>
              </w:rPr>
              <w:t>赏析</w:t>
            </w:r>
          </w:p>
        </w:tc>
      </w:tr>
      <w:tr w14:paraId="1851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vAlign w:val="center"/>
          </w:tcPr>
          <w:p w14:paraId="687814CF">
            <w:pPr>
              <w:spacing w:line="360" w:lineRule="auto"/>
              <w:contextualSpacing/>
              <w:jc w:val="left"/>
              <w:rPr>
                <w:rFonts w:hint="eastAsia" w:ascii="宋体" w:hAnsi="宋体"/>
                <w:sz w:val="24"/>
              </w:rPr>
            </w:pPr>
            <w:r>
              <w:rPr>
                <w:rFonts w:hint="eastAsia" w:ascii="宋体" w:hAnsi="宋体"/>
                <w:sz w:val="24"/>
              </w:rPr>
              <w:t>是的，当年用自己的血汗保卫过第一个红色政权的战士们，谁不记得井冈山上的翠竹呢？</w:t>
            </w:r>
          </w:p>
        </w:tc>
        <w:tc>
          <w:tcPr>
            <w:tcW w:w="4638" w:type="dxa"/>
            <w:vAlign w:val="center"/>
          </w:tcPr>
          <w:p w14:paraId="61C33193">
            <w:pPr>
              <w:spacing w:line="360" w:lineRule="auto"/>
              <w:contextualSpacing/>
              <w:jc w:val="left"/>
              <w:rPr>
                <w:rFonts w:hint="eastAsia" w:ascii="宋体" w:hAnsi="宋体"/>
                <w:sz w:val="24"/>
              </w:rPr>
            </w:pPr>
            <w:r>
              <w:rPr>
                <w:rFonts w:hint="eastAsia" w:ascii="宋体" w:hAnsi="宋体"/>
                <w:sz w:val="24"/>
              </w:rPr>
              <w:t>反问句，使语气更加强烈，体现出人们对翠竹当年立下的丰功伟绩的记忆之深，同时引出下文。</w:t>
            </w:r>
          </w:p>
        </w:tc>
      </w:tr>
      <w:tr w14:paraId="4FE0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vAlign w:val="center"/>
          </w:tcPr>
          <w:p w14:paraId="10BBB084">
            <w:pPr>
              <w:spacing w:line="360" w:lineRule="auto"/>
              <w:contextualSpacing/>
              <w:jc w:val="left"/>
              <w:rPr>
                <w:rFonts w:hint="eastAsia" w:ascii="宋体" w:hAnsi="宋体"/>
                <w:sz w:val="24"/>
              </w:rPr>
            </w:pPr>
            <w:r>
              <w:rPr>
                <w:rFonts w:hint="eastAsia" w:ascii="宋体" w:hAnsi="宋体"/>
                <w:sz w:val="24"/>
              </w:rPr>
              <w:t>你看，那边山路上走来了两位老表，一人提着一只竹筒。这是什么？这不是红军的硝盐罐吗？要不，是给山头的红军送饭来了吧？</w:t>
            </w:r>
          </w:p>
        </w:tc>
        <w:tc>
          <w:tcPr>
            <w:tcW w:w="4638" w:type="dxa"/>
            <w:vAlign w:val="center"/>
          </w:tcPr>
          <w:p w14:paraId="0B6F8223">
            <w:pPr>
              <w:spacing w:line="360" w:lineRule="auto"/>
              <w:contextualSpacing/>
              <w:jc w:val="left"/>
              <w:rPr>
                <w:rFonts w:hint="eastAsia" w:ascii="宋体" w:hAnsi="宋体"/>
                <w:sz w:val="24"/>
              </w:rPr>
            </w:pPr>
            <w:r>
              <w:rPr>
                <w:rFonts w:hint="eastAsia" w:ascii="宋体" w:hAnsi="宋体"/>
                <w:sz w:val="24"/>
              </w:rPr>
              <w:t>设问句用反问作答，形式新颖，既写出看到“老表”后引发的猜测和联想，也显示了翠竹的作用，并点明井冈山军民的鱼水情深。</w:t>
            </w:r>
          </w:p>
        </w:tc>
      </w:tr>
      <w:tr w14:paraId="17A3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vAlign w:val="center"/>
          </w:tcPr>
          <w:p w14:paraId="6509711C">
            <w:pPr>
              <w:spacing w:line="360" w:lineRule="auto"/>
              <w:contextualSpacing/>
              <w:jc w:val="left"/>
              <w:rPr>
                <w:rFonts w:hint="eastAsia" w:ascii="宋体" w:hAnsi="宋体"/>
                <w:sz w:val="24"/>
              </w:rPr>
            </w:pPr>
            <w:r>
              <w:rPr>
                <w:rFonts w:hint="eastAsia" w:ascii="宋体" w:hAnsi="宋体"/>
                <w:sz w:val="24"/>
              </w:rPr>
              <w:t>他们肩上挑的,哪里只是粮食？挑的是中国的无产阶级革命！</w:t>
            </w:r>
          </w:p>
        </w:tc>
        <w:tc>
          <w:tcPr>
            <w:tcW w:w="4638" w:type="dxa"/>
            <w:vAlign w:val="center"/>
          </w:tcPr>
          <w:p w14:paraId="36453230">
            <w:pPr>
              <w:spacing w:line="360" w:lineRule="auto"/>
              <w:contextualSpacing/>
              <w:jc w:val="left"/>
              <w:rPr>
                <w:rFonts w:hint="eastAsia" w:ascii="宋体" w:hAnsi="宋体"/>
                <w:sz w:val="24"/>
              </w:rPr>
            </w:pPr>
            <w:r>
              <w:rPr>
                <w:rFonts w:hint="eastAsia" w:ascii="宋体" w:hAnsi="宋体"/>
                <w:sz w:val="24"/>
              </w:rPr>
              <w:t>设问句，自问自答，表达了人们对伟人的无限崇敬之情，再次强调“扁担”的重要作用。</w:t>
            </w:r>
          </w:p>
        </w:tc>
      </w:tr>
    </w:tbl>
    <w:p w14:paraId="6A34627D">
      <w:pPr>
        <w:snapToGrid w:val="0"/>
        <w:spacing w:line="360" w:lineRule="auto"/>
        <w:ind w:firstLine="480" w:firstLineChars="200"/>
        <w:contextualSpacing/>
        <w:jc w:val="left"/>
        <w:rPr>
          <w:rFonts w:hint="eastAsia" w:ascii="宋体" w:hAnsi="宋体"/>
          <w:sz w:val="24"/>
        </w:rPr>
      </w:pPr>
      <w:r>
        <w:rPr>
          <w:rFonts w:hint="eastAsia" w:ascii="宋体" w:hAnsi="宋体"/>
          <w:sz w:val="24"/>
        </w:rPr>
        <w:t>◎从词语运用的角度赏析句子。请圈画出课文中你觉得词语运用得好的句子进行批注。</w:t>
      </w:r>
    </w:p>
    <w:p w14:paraId="76B354C9">
      <w:pPr>
        <w:snapToGrid w:val="0"/>
        <w:spacing w:line="360" w:lineRule="auto"/>
        <w:ind w:firstLine="480" w:firstLineChars="200"/>
        <w:contextualSpacing/>
        <w:jc w:val="left"/>
        <w:rPr>
          <w:rFonts w:hint="eastAsia" w:ascii="宋体" w:hAnsi="宋体"/>
          <w:sz w:val="24"/>
        </w:rPr>
      </w:pPr>
      <w:r>
        <w:rPr>
          <w:rFonts w:hint="eastAsia" w:ascii="宋体" w:hAnsi="宋体"/>
          <w:sz w:val="24"/>
        </w:rPr>
        <w:t>（1）毛竹年年长，为的是向敌人示威：井冈山是压不倒、烧不光的。毛竹年年绿，为的是等待亲人，等待当年用竹筒盛水蒸饭、用竹钉竹枪打白匪的红军，等待自己的英雄子弟。（“年年长”说明井冈山人有压不垮的脊梁，击不败的意志，烧不毁的信念；“年年绿”表现了井冈山人对党和革命事业的无限深情和热爱。）</w:t>
      </w:r>
    </w:p>
    <w:p w14:paraId="58C89B21">
      <w:pPr>
        <w:snapToGrid w:val="0"/>
        <w:spacing w:line="360" w:lineRule="auto"/>
        <w:ind w:firstLine="480" w:firstLineChars="200"/>
        <w:contextualSpacing/>
        <w:jc w:val="left"/>
        <w:rPr>
          <w:rFonts w:hint="eastAsia" w:ascii="宋体" w:hAnsi="宋体"/>
          <w:sz w:val="24"/>
        </w:rPr>
      </w:pPr>
      <w:r>
        <w:rPr>
          <w:rFonts w:hint="eastAsia" w:ascii="宋体" w:hAnsi="宋体"/>
          <w:sz w:val="24"/>
        </w:rPr>
        <w:t>（2）如今，你若是在井冈山许多山坳走过，便能看到一条条修长的竹滑道。它们几乎是笔直地从山顶上穿过竹林挂下山来。（“一条条”说明竹滑道数量多，“笔直”“挂下山来”说明竹滑道修建之难，字里行间饱含作者的钦佩、赞美之情。）</w:t>
      </w:r>
    </w:p>
    <w:p w14:paraId="22F4216C">
      <w:pPr>
        <w:snapToGrid w:val="0"/>
        <w:spacing w:line="360" w:lineRule="auto"/>
        <w:ind w:firstLine="480" w:firstLineChars="200"/>
        <w:contextualSpacing/>
        <w:jc w:val="left"/>
        <w:rPr>
          <w:rFonts w:hint="eastAsia" w:ascii="宋体" w:hAnsi="宋体"/>
          <w:sz w:val="24"/>
        </w:rPr>
      </w:pPr>
      <w:r>
        <w:rPr>
          <w:rFonts w:hint="eastAsia" w:ascii="宋体" w:hAnsi="宋体"/>
          <w:sz w:val="24"/>
        </w:rPr>
        <w:t>（3）这些青翠的竹子，沿着细长的滑道，穿云钻雾，呼啸而来。它们滑下溪水，转入大河，流进赣江，挤上火车，走上迢迢的征途。（“穿”“钻”“滑”“转”“流”“挤”“走”等动词运用得十分精当贴切，既写出了滑道曲折，山深谷幽，峰回路转之状；又生动形象地写出了毛竹走上工作岗位，参加祖国建设的情景，欢快而流畅，把新一代井冈山人急于为社会主义建设贡献力量的革命热情表达得淋漓尽致。）</w:t>
      </w:r>
    </w:p>
    <w:p w14:paraId="0AB2FD4F">
      <w:pPr>
        <w:snapToGrid w:val="0"/>
        <w:spacing w:line="360" w:lineRule="auto"/>
        <w:ind w:firstLine="480" w:firstLineChars="200"/>
        <w:contextualSpacing/>
        <w:jc w:val="left"/>
        <w:rPr>
          <w:rFonts w:hint="eastAsia" w:ascii="宋体" w:hAnsi="宋体"/>
          <w:sz w:val="24"/>
        </w:rPr>
      </w:pPr>
      <w:r>
        <w:rPr>
          <w:rFonts w:hint="eastAsia" w:ascii="宋体" w:hAnsi="宋体"/>
          <w:sz w:val="24"/>
        </w:rPr>
        <w:t>2.目标任务二：再读课文，答疑解惑。</w:t>
      </w:r>
    </w:p>
    <w:p w14:paraId="0FAC87B5">
      <w:pPr>
        <w:snapToGrid w:val="0"/>
        <w:spacing w:line="360" w:lineRule="auto"/>
        <w:ind w:firstLine="480" w:firstLineChars="200"/>
        <w:contextualSpacing/>
        <w:jc w:val="left"/>
        <w:rPr>
          <w:rFonts w:hint="eastAsia" w:ascii="宋体" w:hAnsi="宋体"/>
          <w:sz w:val="24"/>
        </w:rPr>
      </w:pPr>
      <w:r>
        <w:rPr>
          <w:rFonts w:hint="eastAsia" w:ascii="宋体" w:hAnsi="宋体"/>
          <w:sz w:val="24"/>
        </w:rPr>
        <w:t>◎第3段引用井冈山人的一句话有何作用？请结合全文简要分析。</w:t>
      </w:r>
    </w:p>
    <w:p w14:paraId="68DEF395">
      <w:pPr>
        <w:snapToGrid w:val="0"/>
        <w:spacing w:line="360" w:lineRule="auto"/>
        <w:ind w:firstLine="480" w:firstLineChars="200"/>
        <w:contextualSpacing/>
        <w:jc w:val="left"/>
        <w:rPr>
          <w:rFonts w:hint="eastAsia" w:ascii="宋体" w:hAnsi="宋体"/>
          <w:sz w:val="24"/>
        </w:rPr>
      </w:pPr>
      <w:r>
        <w:rPr>
          <w:rFonts w:hint="eastAsia" w:ascii="宋体" w:hAnsi="宋体"/>
          <w:sz w:val="24"/>
        </w:rPr>
        <w:t>①这句话是本文的线索，贯穿全文；②点出井冈翠竹与革命紧密相连的关系，暗示本文的中心。</w:t>
      </w:r>
    </w:p>
    <w:p w14:paraId="4C338A3F">
      <w:pPr>
        <w:snapToGrid w:val="0"/>
        <w:spacing w:line="360" w:lineRule="auto"/>
        <w:ind w:firstLine="480" w:firstLineChars="200"/>
        <w:contextualSpacing/>
        <w:jc w:val="left"/>
        <w:rPr>
          <w:rFonts w:hint="eastAsia" w:ascii="宋体" w:hAnsi="宋体"/>
          <w:sz w:val="24"/>
        </w:rPr>
      </w:pPr>
      <w:r>
        <w:rPr>
          <w:rFonts w:hint="eastAsia" w:ascii="宋体" w:hAnsi="宋体"/>
          <w:sz w:val="24"/>
        </w:rPr>
        <w:t>◎第8段层层推进，渲染出毛竹旺盛的生命力。想一想，作者借此表达了什么？</w:t>
      </w:r>
    </w:p>
    <w:p w14:paraId="704B7B09">
      <w:pPr>
        <w:snapToGrid w:val="0"/>
        <w:spacing w:line="360" w:lineRule="auto"/>
        <w:ind w:firstLine="480" w:firstLineChars="200"/>
        <w:contextualSpacing/>
        <w:jc w:val="left"/>
        <w:rPr>
          <w:rFonts w:hint="eastAsia" w:ascii="宋体" w:hAnsi="宋体"/>
          <w:sz w:val="24"/>
        </w:rPr>
      </w:pPr>
      <w:r>
        <w:rPr>
          <w:rFonts w:hint="eastAsia" w:ascii="宋体" w:hAnsi="宋体"/>
          <w:sz w:val="24"/>
        </w:rPr>
        <w:t>这一段表面写毛竹生命力之旺盛，实际上在写井冈山人民在红军下山后所进行的可歌可泣的英勇斗争，表达了对他们坚贞不屈的高尚情操和气节的赞颂之情。</w:t>
      </w:r>
    </w:p>
    <w:p w14:paraId="1ABBF48B">
      <w:pPr>
        <w:snapToGrid w:val="0"/>
        <w:spacing w:line="360" w:lineRule="auto"/>
        <w:ind w:firstLine="480" w:firstLineChars="200"/>
        <w:contextualSpacing/>
        <w:jc w:val="left"/>
        <w:rPr>
          <w:rFonts w:hint="eastAsia" w:ascii="宋体" w:hAnsi="宋体"/>
          <w:sz w:val="24"/>
        </w:rPr>
      </w:pPr>
      <w:r>
        <w:rPr>
          <w:rFonts w:hint="eastAsia" w:ascii="宋体" w:hAnsi="宋体"/>
          <w:sz w:val="24"/>
        </w:rPr>
        <w:t>◎第9段中的“等待”赋予了毛竹深邃的象征意义，你能简要说说吗？</w:t>
      </w:r>
    </w:p>
    <w:p w14:paraId="37A13E1B">
      <w:pPr>
        <w:snapToGrid w:val="0"/>
        <w:spacing w:line="360" w:lineRule="auto"/>
        <w:ind w:firstLine="480" w:firstLineChars="200"/>
        <w:contextualSpacing/>
        <w:jc w:val="left"/>
        <w:rPr>
          <w:rFonts w:hint="eastAsia" w:ascii="宋体" w:hAnsi="宋体"/>
          <w:sz w:val="24"/>
        </w:rPr>
      </w:pPr>
      <w:r>
        <w:rPr>
          <w:rFonts w:hint="eastAsia" w:ascii="宋体" w:hAnsi="宋体"/>
          <w:sz w:val="24"/>
        </w:rPr>
        <w:t>这里写井冈翠竹坚定不移地等待亲人、红军、英雄子弟，象征井冈山人对党的坚定信仰、对革命的绝对忠诚，以及对革命胜利的坚定信念。</w:t>
      </w:r>
    </w:p>
    <w:p w14:paraId="3FD861D5">
      <w:pPr>
        <w:snapToGrid w:val="0"/>
        <w:spacing w:line="360" w:lineRule="auto"/>
        <w:ind w:firstLine="480" w:firstLineChars="200"/>
        <w:contextualSpacing/>
        <w:jc w:val="left"/>
        <w:rPr>
          <w:rFonts w:hint="eastAsia" w:ascii="宋体" w:hAnsi="宋体"/>
          <w:sz w:val="24"/>
        </w:rPr>
      </w:pPr>
      <w:r>
        <w:rPr>
          <w:rFonts w:hint="eastAsia" w:ascii="宋体" w:hAnsi="宋体"/>
          <w:sz w:val="24"/>
        </w:rPr>
        <w:t>◎作者在文中巧妙地运用了第二人称“你”和“你们”，请简要说说其作用。</w:t>
      </w:r>
    </w:p>
    <w:p w14:paraId="6B2E01EA">
      <w:pPr>
        <w:snapToGrid w:val="0"/>
        <w:spacing w:line="360" w:lineRule="auto"/>
        <w:ind w:firstLine="480" w:firstLineChars="200"/>
        <w:contextualSpacing/>
        <w:jc w:val="left"/>
        <w:rPr>
          <w:rFonts w:hint="eastAsia" w:ascii="宋体" w:hAnsi="宋体"/>
          <w:sz w:val="24"/>
        </w:rPr>
      </w:pPr>
      <w:r>
        <w:rPr>
          <w:rFonts w:hint="eastAsia" w:ascii="宋体" w:hAnsi="宋体"/>
          <w:sz w:val="24"/>
        </w:rPr>
        <w:t>①作者以第二人称直接与读者对话，拉近了与读者之间的距离，增强了文章的亲切感；②文章末段直接以“你”称呼井冈翠竹，将其拟人化，直接抒发了对它顽强不屈、无私奉献等品格的赞美、歌颂之情，情感更加直接且浓烈。</w:t>
      </w:r>
    </w:p>
    <w:p w14:paraId="5F0C7088">
      <w:pPr>
        <w:snapToGrid w:val="0"/>
        <w:spacing w:line="360" w:lineRule="auto"/>
        <w:ind w:firstLine="480" w:firstLineChars="200"/>
        <w:contextualSpacing/>
        <w:jc w:val="left"/>
        <w:rPr>
          <w:rFonts w:hint="eastAsia" w:ascii="宋体" w:hAnsi="宋体"/>
          <w:sz w:val="24"/>
        </w:rPr>
      </w:pPr>
      <w:r>
        <w:rPr>
          <w:rFonts w:hint="eastAsia" w:ascii="宋体" w:hAnsi="宋体"/>
          <w:sz w:val="24"/>
        </w:rPr>
        <w:t>结束语：品读本文，我们仿佛看到一望无际的刚劲挺拔的井冈翠竹，仿佛看到中国革命光辉绚丽的战斗历程；它展现了井冈山人民的英雄业绩，歌颂了亿万人民的革命胸怀！这是一首革命的颂歌。对于今天正前进在实现中华民族伟大复兴征途上的我们，它同样能激励我们奋勇前进，建立功勋。让我们同井冈翠竹一样，不畏风雪，刚劲挺拔，永绿长青，为民族复兴献出自己的青春吧！</w:t>
      </w:r>
    </w:p>
    <w:p w14:paraId="7B45FB6D">
      <w:pPr>
        <w:snapToGrid w:val="0"/>
        <w:spacing w:line="360" w:lineRule="auto"/>
        <w:contextualSpacing/>
        <w:jc w:val="left"/>
        <w:rPr>
          <w:rFonts w:hint="eastAsia" w:ascii="宋体" w:hAnsi="宋体"/>
          <w:sz w:val="24"/>
        </w:rPr>
      </w:pPr>
      <w:r>
        <w:rPr>
          <w:rFonts w:hint="eastAsia" w:ascii="宋体" w:hAnsi="宋体"/>
          <w:sz w:val="24"/>
        </w:rPr>
        <w:t>三、作业布置</w:t>
      </w:r>
    </w:p>
    <w:p w14:paraId="46CB85A0">
      <w:pPr>
        <w:snapToGrid w:val="0"/>
        <w:spacing w:line="360" w:lineRule="auto"/>
        <w:ind w:firstLine="480" w:firstLineChars="200"/>
        <w:contextualSpacing/>
        <w:jc w:val="left"/>
        <w:rPr>
          <w:rFonts w:hint="eastAsia" w:ascii="宋体" w:hAnsi="宋体"/>
          <w:sz w:val="24"/>
        </w:rPr>
      </w:pPr>
      <w:r>
        <w:rPr>
          <w:rFonts w:hint="eastAsia" w:ascii="宋体" w:hAnsi="宋体"/>
          <w:sz w:val="24"/>
        </w:rPr>
        <w:t>请从自然界常见的动植物或生活中常见的物品中任选一个写作对象，运用托物言志的手法及两种以上的修辞手法写一个200字左右的片段来表达自己的情感。</w:t>
      </w:r>
    </w:p>
    <w:p w14:paraId="08D21CE0">
      <w:pPr>
        <w:snapToGrid w:val="0"/>
        <w:spacing w:line="360" w:lineRule="auto"/>
        <w:contextualSpacing/>
        <w:jc w:val="left"/>
        <w:rPr>
          <w:rFonts w:hint="eastAsia" w:ascii="宋体" w:hAnsi="宋体"/>
          <w:sz w:val="24"/>
        </w:rPr>
      </w:pPr>
      <w:r>
        <w:drawing>
          <wp:inline distT="0" distB="0" distL="0" distR="0">
            <wp:extent cx="1324610" cy="2946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14"/>
                    <a:stretch>
                      <a:fillRect/>
                    </a:stretch>
                  </pic:blipFill>
                  <pic:spPr>
                    <a:xfrm>
                      <a:off x="0" y="0"/>
                      <a:ext cx="1324800" cy="295200"/>
                    </a:xfrm>
                    <a:prstGeom prst="rect">
                      <a:avLst/>
                    </a:prstGeom>
                  </pic:spPr>
                </pic:pic>
              </a:graphicData>
            </a:graphic>
          </wp:inline>
        </w:drawing>
      </w:r>
    </w:p>
    <w:p w14:paraId="7FAA775E">
      <w:pPr>
        <w:snapToGrid w:val="0"/>
        <w:spacing w:line="360" w:lineRule="auto"/>
        <w:contextualSpacing/>
        <w:jc w:val="center"/>
        <w:rPr>
          <w:rFonts w:hint="eastAsia" w:ascii="宋体" w:hAnsi="宋体"/>
          <w:sz w:val="24"/>
        </w:rPr>
      </w:pPr>
      <w:r>
        <w:drawing>
          <wp:inline distT="0" distB="0" distL="0" distR="0">
            <wp:extent cx="3724910" cy="109537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15"/>
                    <a:stretch>
                      <a:fillRect/>
                    </a:stretch>
                  </pic:blipFill>
                  <pic:spPr>
                    <a:xfrm>
                      <a:off x="0" y="0"/>
                      <a:ext cx="3755919" cy="1104886"/>
                    </a:xfrm>
                    <a:prstGeom prst="rect">
                      <a:avLst/>
                    </a:prstGeom>
                  </pic:spPr>
                </pic:pic>
              </a:graphicData>
            </a:graphic>
          </wp:inline>
        </w:drawing>
      </w:r>
    </w:p>
    <w:p w14:paraId="49B2419E">
      <w:pPr>
        <w:snapToGrid w:val="0"/>
        <w:spacing w:line="360" w:lineRule="auto"/>
        <w:contextualSpacing/>
        <w:rPr>
          <w:rFonts w:hint="eastAsia" w:ascii="宋体" w:hAnsi="宋体"/>
          <w:sz w:val="24"/>
        </w:rPr>
      </w:pPr>
      <w:r>
        <w:drawing>
          <wp:inline distT="0" distB="0" distL="0" distR="0">
            <wp:extent cx="1324610" cy="29464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6"/>
                    <a:stretch>
                      <a:fillRect/>
                    </a:stretch>
                  </pic:blipFill>
                  <pic:spPr>
                    <a:xfrm>
                      <a:off x="0" y="0"/>
                      <a:ext cx="1324800" cy="295200"/>
                    </a:xfrm>
                    <a:prstGeom prst="rect">
                      <a:avLst/>
                    </a:prstGeom>
                  </pic:spPr>
                </pic:pic>
              </a:graphicData>
            </a:graphic>
          </wp:inline>
        </w:drawing>
      </w:r>
    </w:p>
    <w:p w14:paraId="55625066">
      <w:pPr>
        <w:snapToGrid w:val="0"/>
        <w:spacing w:line="360" w:lineRule="auto"/>
        <w:ind w:firstLine="480" w:firstLineChars="200"/>
        <w:contextualSpacing/>
        <w:jc w:val="left"/>
        <w:rPr>
          <w:rFonts w:hint="eastAsia" w:ascii="宋体" w:hAnsi="宋体"/>
          <w:sz w:val="24"/>
        </w:rPr>
      </w:pPr>
      <w:r>
        <w:rPr>
          <w:rFonts w:hint="eastAsia" w:ascii="宋体" w:hAnsi="宋体"/>
          <w:sz w:val="24"/>
        </w:rPr>
        <w:t>本教学设计首先梳理了文章的结构层次，帮助学生更好地理解文章的脉络和整体内容，从而更准确地把握文章的主要思想。然后讲解了文章的主要表现手法——托物言志，有利于帮助学生进一步理解文章内容。接着，带领学生对文章中富有表现力的句子进行了具体分析，有利于提高学生的语言鉴赏能力。最后，布置课后作业，让学生将课内所学的托物言志手法及多种修辞手法运用到写作中，提升学生的写作能力。本教学设计点面结合，由浅入深，层层推进，将教学目标落到实处。</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DEB6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3DC9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EFA9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3911F">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9E2BB">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21A8A">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BE7"/>
    <w:rsid w:val="000635C3"/>
    <w:rsid w:val="00063EE5"/>
    <w:rsid w:val="00072FA0"/>
    <w:rsid w:val="000921F2"/>
    <w:rsid w:val="000D5C17"/>
    <w:rsid w:val="000E2E45"/>
    <w:rsid w:val="000E55A4"/>
    <w:rsid w:val="000F7B08"/>
    <w:rsid w:val="00112168"/>
    <w:rsid w:val="00114A2B"/>
    <w:rsid w:val="00115F6C"/>
    <w:rsid w:val="0015387C"/>
    <w:rsid w:val="001570B0"/>
    <w:rsid w:val="001827D9"/>
    <w:rsid w:val="00195A68"/>
    <w:rsid w:val="001A08B7"/>
    <w:rsid w:val="001B68EC"/>
    <w:rsid w:val="001B6D6C"/>
    <w:rsid w:val="001C5B10"/>
    <w:rsid w:val="00211C0C"/>
    <w:rsid w:val="0022003C"/>
    <w:rsid w:val="00240B63"/>
    <w:rsid w:val="00244BE0"/>
    <w:rsid w:val="00245D4D"/>
    <w:rsid w:val="00255A82"/>
    <w:rsid w:val="00273248"/>
    <w:rsid w:val="002D2C5C"/>
    <w:rsid w:val="0031648B"/>
    <w:rsid w:val="00325986"/>
    <w:rsid w:val="00334B58"/>
    <w:rsid w:val="00354D88"/>
    <w:rsid w:val="00397561"/>
    <w:rsid w:val="003A397D"/>
    <w:rsid w:val="003B6A23"/>
    <w:rsid w:val="003D06F2"/>
    <w:rsid w:val="003D392A"/>
    <w:rsid w:val="003D6CA3"/>
    <w:rsid w:val="003F677A"/>
    <w:rsid w:val="00402094"/>
    <w:rsid w:val="004051F5"/>
    <w:rsid w:val="00415749"/>
    <w:rsid w:val="004247EB"/>
    <w:rsid w:val="004266DB"/>
    <w:rsid w:val="00432413"/>
    <w:rsid w:val="00433762"/>
    <w:rsid w:val="00442CB4"/>
    <w:rsid w:val="0044351F"/>
    <w:rsid w:val="004577C3"/>
    <w:rsid w:val="004A7D85"/>
    <w:rsid w:val="004B0728"/>
    <w:rsid w:val="004B33C4"/>
    <w:rsid w:val="004D5F06"/>
    <w:rsid w:val="005024FD"/>
    <w:rsid w:val="005556B6"/>
    <w:rsid w:val="00557F5C"/>
    <w:rsid w:val="00561A59"/>
    <w:rsid w:val="00574F36"/>
    <w:rsid w:val="00590D6E"/>
    <w:rsid w:val="005A74D0"/>
    <w:rsid w:val="005B0A09"/>
    <w:rsid w:val="005D386C"/>
    <w:rsid w:val="005E4D56"/>
    <w:rsid w:val="005F3142"/>
    <w:rsid w:val="00604C20"/>
    <w:rsid w:val="00624B6C"/>
    <w:rsid w:val="00646691"/>
    <w:rsid w:val="0066118F"/>
    <w:rsid w:val="00671892"/>
    <w:rsid w:val="00681986"/>
    <w:rsid w:val="006A36D9"/>
    <w:rsid w:val="006A4BE7"/>
    <w:rsid w:val="006A4D30"/>
    <w:rsid w:val="006B2913"/>
    <w:rsid w:val="006D78D6"/>
    <w:rsid w:val="00700EB1"/>
    <w:rsid w:val="007111B7"/>
    <w:rsid w:val="00726E0B"/>
    <w:rsid w:val="00747818"/>
    <w:rsid w:val="00770D86"/>
    <w:rsid w:val="007A5034"/>
    <w:rsid w:val="007B0AD3"/>
    <w:rsid w:val="007F0348"/>
    <w:rsid w:val="0083630B"/>
    <w:rsid w:val="00861328"/>
    <w:rsid w:val="0086759F"/>
    <w:rsid w:val="0087184C"/>
    <w:rsid w:val="00877F01"/>
    <w:rsid w:val="00882BA1"/>
    <w:rsid w:val="00897ABE"/>
    <w:rsid w:val="008C00BD"/>
    <w:rsid w:val="008D3BB3"/>
    <w:rsid w:val="008E66A4"/>
    <w:rsid w:val="008E70C9"/>
    <w:rsid w:val="00900CF2"/>
    <w:rsid w:val="009227B2"/>
    <w:rsid w:val="00961570"/>
    <w:rsid w:val="0096516E"/>
    <w:rsid w:val="009671B3"/>
    <w:rsid w:val="00981668"/>
    <w:rsid w:val="009816D1"/>
    <w:rsid w:val="009B7001"/>
    <w:rsid w:val="009D23AB"/>
    <w:rsid w:val="009F6A84"/>
    <w:rsid w:val="00A050A9"/>
    <w:rsid w:val="00A10CD7"/>
    <w:rsid w:val="00A13E81"/>
    <w:rsid w:val="00A166A9"/>
    <w:rsid w:val="00A20851"/>
    <w:rsid w:val="00A33D80"/>
    <w:rsid w:val="00A3496D"/>
    <w:rsid w:val="00A401F6"/>
    <w:rsid w:val="00A52222"/>
    <w:rsid w:val="00A53FDE"/>
    <w:rsid w:val="00A855A3"/>
    <w:rsid w:val="00A876C4"/>
    <w:rsid w:val="00AE2664"/>
    <w:rsid w:val="00B3792B"/>
    <w:rsid w:val="00B5577E"/>
    <w:rsid w:val="00B62EA4"/>
    <w:rsid w:val="00B824BC"/>
    <w:rsid w:val="00B84C30"/>
    <w:rsid w:val="00BA649A"/>
    <w:rsid w:val="00BC7946"/>
    <w:rsid w:val="00BD3EC7"/>
    <w:rsid w:val="00BE5BC7"/>
    <w:rsid w:val="00C07A39"/>
    <w:rsid w:val="00C21A84"/>
    <w:rsid w:val="00C33153"/>
    <w:rsid w:val="00C962E4"/>
    <w:rsid w:val="00CA11E9"/>
    <w:rsid w:val="00CC2BFA"/>
    <w:rsid w:val="00CC6467"/>
    <w:rsid w:val="00D3715D"/>
    <w:rsid w:val="00D41A64"/>
    <w:rsid w:val="00D44DCF"/>
    <w:rsid w:val="00D53454"/>
    <w:rsid w:val="00D61F59"/>
    <w:rsid w:val="00D63080"/>
    <w:rsid w:val="00D73534"/>
    <w:rsid w:val="00DD4386"/>
    <w:rsid w:val="00DD783B"/>
    <w:rsid w:val="00DF5121"/>
    <w:rsid w:val="00E37108"/>
    <w:rsid w:val="00E8090A"/>
    <w:rsid w:val="00E92ADF"/>
    <w:rsid w:val="00EA25B9"/>
    <w:rsid w:val="00EC2ED1"/>
    <w:rsid w:val="00ED04D3"/>
    <w:rsid w:val="00F14FB9"/>
    <w:rsid w:val="00F2348A"/>
    <w:rsid w:val="00F23763"/>
    <w:rsid w:val="00F52667"/>
    <w:rsid w:val="00F57980"/>
    <w:rsid w:val="00F61F6E"/>
    <w:rsid w:val="00FD2DE1"/>
    <w:rsid w:val="00FE2522"/>
    <w:rsid w:val="00FE3196"/>
    <w:rsid w:val="00FE67CB"/>
    <w:rsid w:val="00FF2708"/>
    <w:rsid w:val="050766D9"/>
    <w:rsid w:val="39DC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2617</Words>
  <Characters>2647</Characters>
  <Lines>30</Lines>
  <Paragraphs>8</Paragraphs>
  <TotalTime>201</TotalTime>
  <ScaleCrop>false</ScaleCrop>
  <LinksUpToDate>false</LinksUpToDate>
  <CharactersWithSpaces>2664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2025-08-06T09:07:05Z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4EA8C89732A64D70A808AA4A9A1175A1_12</vt:lpwstr>
  </property>
</Properties>
</file>